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E56ACD" w:rsidRDefault="00E56ACD"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C3C90">
              <w:rPr>
                <w:rFonts w:ascii="Times New Roman" w:hAnsi="Times New Roman" w:cs="Times New Roman"/>
                <w:sz w:val="24"/>
                <w:szCs w:val="24"/>
              </w:rPr>
              <w:t xml:space="preserve">Day </w:t>
            </w:r>
            <w:r w:rsidR="00D372D8">
              <w:rPr>
                <w:rFonts w:ascii="Times New Roman" w:hAnsi="Times New Roman" w:cs="Times New Roman"/>
                <w:sz w:val="24"/>
                <w:szCs w:val="24"/>
              </w:rPr>
              <w:t>5</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218"/>
              </w:trPr>
              <w:tc>
                <w:tcPr>
                  <w:tcW w:w="0" w:type="auto"/>
                </w:tcPr>
                <w:p w:rsidR="00E56ACD" w:rsidRDefault="00E56ACD">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770"/>
              </w:trPr>
              <w:tc>
                <w:tcPr>
                  <w:tcW w:w="0" w:type="auto"/>
                </w:tcPr>
                <w:p w:rsidR="00E56ACD" w:rsidRDefault="00E56ACD">
                  <w:pPr>
                    <w:pStyle w:val="Default"/>
                    <w:rPr>
                      <w:sz w:val="23"/>
                      <w:szCs w:val="23"/>
                    </w:rPr>
                  </w:pPr>
                  <w:r>
                    <w:rPr>
                      <w:sz w:val="23"/>
                      <w:szCs w:val="23"/>
                    </w:rPr>
                    <w:t xml:space="preserve">Using the total number of each item in the school store inventory, represent each number multiple ways. Use base-ten blocks, place, and number words. </w:t>
                  </w:r>
                </w:p>
              </w:tc>
            </w:tr>
          </w:tbl>
          <w:p w:rsidR="00E56ACD" w:rsidRDefault="00E56ACD"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56ACD" w:rsidRDefault="00E56ACD" w:rsidP="00E56ACD">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E56ACD" w:rsidTr="00ED26CE">
              <w:trPr>
                <w:trHeight w:val="218"/>
              </w:trPr>
              <w:tc>
                <w:tcPr>
                  <w:tcW w:w="4249" w:type="dxa"/>
                </w:tcPr>
                <w:p w:rsidR="00E56ACD" w:rsidRDefault="00E56ACD"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E56ACD" w:rsidTr="00ED26CE">
                    <w:trPr>
                      <w:trHeight w:val="218"/>
                    </w:trPr>
                    <w:tc>
                      <w:tcPr>
                        <w:tcW w:w="0" w:type="auto"/>
                      </w:tcPr>
                      <w:p w:rsidR="00E56ACD" w:rsidRDefault="00E56ACD" w:rsidP="00ED26CE">
                        <w:pPr>
                          <w:pStyle w:val="Default"/>
                        </w:pPr>
                        <w:r>
                          <w:t xml:space="preserve">How do patterns help me skip count? </w:t>
                        </w:r>
                      </w:p>
                      <w:p w:rsidR="00E56ACD" w:rsidRDefault="00E56ACD" w:rsidP="00ED26CE">
                        <w:pPr>
                          <w:pStyle w:val="Default"/>
                        </w:pPr>
                      </w:p>
                    </w:tc>
                  </w:tr>
                </w:tbl>
                <w:p w:rsidR="00E56ACD" w:rsidRDefault="00E56ACD" w:rsidP="00ED26CE">
                  <w:pPr>
                    <w:pStyle w:val="Default"/>
                    <w:rPr>
                      <w:sz w:val="23"/>
                      <w:szCs w:val="23"/>
                    </w:rPr>
                  </w:pPr>
                </w:p>
              </w:tc>
            </w:tr>
          </w:tbl>
          <w:p w:rsidR="00E56ACD" w:rsidRPr="008C13D7" w:rsidRDefault="00E56ACD"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E56ACD" w:rsidRDefault="004807E4" w:rsidP="00E56ACD">
            <w:pPr>
              <w:pStyle w:val="Default"/>
            </w:pPr>
            <w:r>
              <w:t xml:space="preserve">Overhead </w:t>
            </w:r>
          </w:p>
          <w:p w:rsidR="004807E4" w:rsidRDefault="004807E4" w:rsidP="00E56ACD">
            <w:pPr>
              <w:pStyle w:val="Default"/>
            </w:pPr>
          </w:p>
          <w:tbl>
            <w:tblPr>
              <w:tblW w:w="0" w:type="auto"/>
              <w:tblBorders>
                <w:top w:val="nil"/>
                <w:left w:val="nil"/>
                <w:bottom w:val="nil"/>
                <w:right w:val="nil"/>
              </w:tblBorders>
              <w:tblLook w:val="0000" w:firstRow="0" w:lastRow="0" w:firstColumn="0" w:lastColumn="0" w:noHBand="0" w:noVBand="0"/>
            </w:tblPr>
            <w:tblGrid>
              <w:gridCol w:w="2544"/>
            </w:tblGrid>
            <w:tr w:rsidR="00E56ACD">
              <w:trPr>
                <w:trHeight w:val="1612"/>
              </w:trPr>
              <w:tc>
                <w:tcPr>
                  <w:tcW w:w="0" w:type="auto"/>
                </w:tcPr>
                <w:p w:rsidR="00E56ACD" w:rsidRDefault="00E56ACD">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4807E4" w:rsidRDefault="008D07C9" w:rsidP="003D7D31">
            <w:pPr>
              <w:rPr>
                <w:rFonts w:ascii="Times New Roman" w:hAnsi="Times New Roman" w:cs="Times New Roman"/>
                <w:b/>
                <w:sz w:val="24"/>
                <w:szCs w:val="24"/>
              </w:rPr>
            </w:pPr>
            <w:r>
              <w:rPr>
                <w:rFonts w:ascii="Times New Roman" w:hAnsi="Times New Roman" w:cs="Times New Roman"/>
                <w:b/>
                <w:sz w:val="24"/>
                <w:szCs w:val="24"/>
              </w:rPr>
              <w:t>Math Dictionary</w:t>
            </w:r>
          </w:p>
          <w:p w:rsidR="00657D62" w:rsidRDefault="00657D62" w:rsidP="003D7D31">
            <w:pPr>
              <w:rPr>
                <w:rFonts w:ascii="Times New Roman" w:hAnsi="Times New Roman" w:cs="Times New Roman"/>
                <w:b/>
                <w:sz w:val="24"/>
                <w:szCs w:val="24"/>
              </w:rPr>
            </w:pPr>
            <w:r>
              <w:rPr>
                <w:rFonts w:ascii="Times New Roman" w:hAnsi="Times New Roman" w:cs="Times New Roman"/>
                <w:b/>
                <w:sz w:val="24"/>
                <w:szCs w:val="24"/>
              </w:rPr>
              <w:t>Math Journal</w:t>
            </w:r>
          </w:p>
          <w:p w:rsidR="00657D62" w:rsidRDefault="00657D62" w:rsidP="003D7D31">
            <w:pPr>
              <w:rPr>
                <w:rFonts w:ascii="Times New Roman" w:hAnsi="Times New Roman" w:cs="Times New Roman"/>
                <w:b/>
                <w:sz w:val="24"/>
                <w:szCs w:val="24"/>
              </w:rPr>
            </w:pPr>
            <w:r>
              <w:rPr>
                <w:rFonts w:ascii="Times New Roman" w:hAnsi="Times New Roman" w:cs="Times New Roman"/>
                <w:b/>
                <w:sz w:val="24"/>
                <w:szCs w:val="24"/>
              </w:rPr>
              <w:t>enVisions 4-3</w:t>
            </w:r>
          </w:p>
        </w:tc>
        <w:tc>
          <w:tcPr>
            <w:tcW w:w="5496" w:type="dxa"/>
            <w:gridSpan w:val="2"/>
          </w:tcPr>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1647"/>
            </w:tblGrid>
            <w:tr w:rsidR="00E56ACD">
              <w:trPr>
                <w:trHeight w:val="1598"/>
              </w:trPr>
              <w:tc>
                <w:tcPr>
                  <w:tcW w:w="0" w:type="auto"/>
                </w:tcPr>
                <w:p w:rsidR="00E56ACD" w:rsidRDefault="00E56ACD">
                  <w:pPr>
                    <w:pStyle w:val="Default"/>
                    <w:rPr>
                      <w:sz w:val="23"/>
                      <w:szCs w:val="23"/>
                    </w:rPr>
                  </w:pPr>
                  <w:r>
                    <w:rPr>
                      <w:sz w:val="23"/>
                      <w:szCs w:val="23"/>
                    </w:rPr>
                    <w:t xml:space="preserve">place value </w:t>
                  </w:r>
                </w:p>
                <w:p w:rsidR="00E56ACD" w:rsidRDefault="00E56ACD">
                  <w:pPr>
                    <w:pStyle w:val="Default"/>
                    <w:rPr>
                      <w:sz w:val="23"/>
                      <w:szCs w:val="23"/>
                    </w:rPr>
                  </w:pPr>
                  <w:r>
                    <w:rPr>
                      <w:sz w:val="23"/>
                      <w:szCs w:val="23"/>
                    </w:rPr>
                    <w:t xml:space="preserve">hundreds </w:t>
                  </w:r>
                </w:p>
                <w:p w:rsidR="00E56ACD" w:rsidRDefault="00E56ACD">
                  <w:pPr>
                    <w:pStyle w:val="Default"/>
                    <w:rPr>
                      <w:sz w:val="23"/>
                      <w:szCs w:val="23"/>
                    </w:rPr>
                  </w:pPr>
                  <w:r>
                    <w:rPr>
                      <w:sz w:val="23"/>
                      <w:szCs w:val="23"/>
                    </w:rPr>
                    <w:t xml:space="preserve">tens </w:t>
                  </w:r>
                </w:p>
                <w:p w:rsidR="00E56ACD" w:rsidRDefault="00E56ACD">
                  <w:pPr>
                    <w:pStyle w:val="Default"/>
                    <w:rPr>
                      <w:sz w:val="23"/>
                      <w:szCs w:val="23"/>
                    </w:rPr>
                  </w:pPr>
                  <w:r>
                    <w:rPr>
                      <w:sz w:val="23"/>
                      <w:szCs w:val="23"/>
                    </w:rPr>
                    <w:t xml:space="preserve">ones skip count </w:t>
                  </w:r>
                </w:p>
                <w:p w:rsidR="00E56ACD" w:rsidRDefault="00E56ACD">
                  <w:pPr>
                    <w:pStyle w:val="Default"/>
                    <w:rPr>
                      <w:sz w:val="23"/>
                      <w:szCs w:val="23"/>
                    </w:rPr>
                  </w:pPr>
                  <w:r>
                    <w:rPr>
                      <w:sz w:val="23"/>
                      <w:szCs w:val="23"/>
                    </w:rPr>
                    <w:t xml:space="preserve">counting on </w:t>
                  </w:r>
                </w:p>
              </w:tc>
            </w:tr>
          </w:tbl>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3.  Construct </w:t>
            </w:r>
            <w:r w:rsidR="00D85633" w:rsidRPr="00D85633">
              <w:rPr>
                <w:rFonts w:ascii="Times New Roman" w:hAnsi="Times New Roman" w:cs="Times New Roman"/>
                <w:sz w:val="18"/>
                <w:szCs w:val="18"/>
              </w:rPr>
              <w:lastRenderedPageBreak/>
              <w:t>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B6F32"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602C5" w:rsidRDefault="001602C5" w:rsidP="007B401D">
            <w:pPr>
              <w:rPr>
                <w:rFonts w:ascii="Times New Roman" w:hAnsi="Times New Roman" w:cs="Times New Roman"/>
                <w:b/>
                <w:sz w:val="24"/>
                <w:szCs w:val="24"/>
              </w:rPr>
            </w:pPr>
            <w:r>
              <w:rPr>
                <w:rFonts w:ascii="Times New Roman" w:hAnsi="Times New Roman" w:cs="Times New Roman"/>
                <w:b/>
                <w:sz w:val="24"/>
                <w:szCs w:val="24"/>
              </w:rPr>
              <w:t xml:space="preserve">    2.NBT.1</w:t>
            </w:r>
          </w:p>
          <w:p w:rsidR="001602C5" w:rsidRDefault="001602C5" w:rsidP="007B401D">
            <w:pPr>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Understand that the 3-digit of a 3-digit number represent the amount of hundreds, tens, </w:t>
            </w:r>
          </w:p>
          <w:p w:rsidR="001602C5" w:rsidRPr="001602C5" w:rsidRDefault="001602C5" w:rsidP="007B401D">
            <w:pPr>
              <w:rPr>
                <w:rFonts w:ascii="Times New Roman" w:hAnsi="Times New Roman" w:cs="Times New Roman"/>
                <w:i/>
                <w:sz w:val="24"/>
                <w:szCs w:val="24"/>
              </w:rPr>
            </w:pPr>
            <w:r>
              <w:rPr>
                <w:rFonts w:ascii="Times New Roman" w:hAnsi="Times New Roman" w:cs="Times New Roman"/>
                <w:i/>
                <w:sz w:val="24"/>
                <w:szCs w:val="24"/>
              </w:rPr>
              <w:t>and ones.</w:t>
            </w:r>
            <w:r>
              <w:rPr>
                <w:rFonts w:ascii="Times New Roman" w:hAnsi="Times New Roman" w:cs="Times New Roman"/>
                <w:b/>
                <w:i/>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82"/>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8766"/>
                  </w:tblGrid>
                  <w:tr w:rsidR="00F953ED">
                    <w:trPr>
                      <w:trHeight w:val="761"/>
                    </w:trPr>
                    <w:tc>
                      <w:tcPr>
                        <w:tcW w:w="0" w:type="auto"/>
                      </w:tcPr>
                      <w:p w:rsidR="00F953ED" w:rsidRDefault="00F953ED">
                        <w:pPr>
                          <w:pStyle w:val="Default"/>
                          <w:rPr>
                            <w:sz w:val="23"/>
                            <w:szCs w:val="23"/>
                          </w:rPr>
                        </w:pPr>
                        <w:r>
                          <w:rPr>
                            <w:b/>
                            <w:bCs/>
                            <w:i/>
                            <w:iCs/>
                            <w:sz w:val="23"/>
                            <w:szCs w:val="23"/>
                          </w:rPr>
                          <w:t xml:space="preserve">2.NBT.3 </w:t>
                        </w:r>
                      </w:p>
                      <w:p w:rsidR="00F953ED" w:rsidRDefault="00F953ED">
                        <w:pPr>
                          <w:pStyle w:val="Default"/>
                          <w:rPr>
                            <w:sz w:val="23"/>
                            <w:szCs w:val="23"/>
                          </w:rPr>
                        </w:pPr>
                        <w:r>
                          <w:rPr>
                            <w:i/>
                            <w:iCs/>
                            <w:sz w:val="23"/>
                            <w:szCs w:val="23"/>
                          </w:rPr>
                          <w:t xml:space="preserve">Read and write numbers to 1,000 using base-ten numerals, number names, and expanded form. (Special Note: Expanded form will be taught in Unit 3.) </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5B48E9" w:rsidRDefault="00D372D8" w:rsidP="007B401D">
            <w:pPr>
              <w:rPr>
                <w:rFonts w:ascii="Times New Roman" w:hAnsi="Times New Roman" w:cs="Times New Roman"/>
                <w:b/>
                <w:sz w:val="24"/>
                <w:szCs w:val="24"/>
              </w:rPr>
            </w:pPr>
            <w:r>
              <w:rPr>
                <w:rFonts w:ascii="Times New Roman" w:hAnsi="Times New Roman" w:cs="Times New Roman"/>
                <w:b/>
                <w:sz w:val="24"/>
                <w:szCs w:val="24"/>
              </w:rPr>
              <w:t>Represent numbers in 3 different ways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D07C9" w:rsidP="007B401D">
            <w:pPr>
              <w:rPr>
                <w:rFonts w:ascii="Times New Roman" w:hAnsi="Times New Roman" w:cs="Times New Roman"/>
                <w:sz w:val="24"/>
                <w:szCs w:val="24"/>
              </w:rPr>
            </w:pPr>
            <w:r>
              <w:rPr>
                <w:rFonts w:ascii="Times New Roman" w:hAnsi="Times New Roman" w:cs="Times New Roman"/>
                <w:sz w:val="24"/>
                <w:szCs w:val="24"/>
              </w:rPr>
              <w:t xml:space="preserve">Today you </w:t>
            </w:r>
            <w:r w:rsidR="00D372D8">
              <w:rPr>
                <w:rFonts w:ascii="Times New Roman" w:hAnsi="Times New Roman" w:cs="Times New Roman"/>
                <w:sz w:val="24"/>
                <w:szCs w:val="24"/>
              </w:rPr>
              <w:t>put what you have learned about representing numbers to use to prepare us to help the PTA president with her inventory</w:t>
            </w:r>
            <w:r w:rsidR="00E06CE8">
              <w:rPr>
                <w:rFonts w:ascii="Times New Roman" w:hAnsi="Times New Roman" w:cs="Times New Roman"/>
                <w:sz w:val="24"/>
                <w:szCs w:val="24"/>
              </w:rPr>
              <w:t xml:space="preserve"> count tomorrow.</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5B48E9"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B48E9" w:rsidRDefault="00D372D8" w:rsidP="007B401D">
            <w:pPr>
              <w:rPr>
                <w:rFonts w:ascii="Times New Roman" w:hAnsi="Times New Roman" w:cs="Times New Roman"/>
                <w:b/>
                <w:sz w:val="24"/>
                <w:szCs w:val="24"/>
              </w:rPr>
            </w:pPr>
            <w:r>
              <w:rPr>
                <w:rFonts w:ascii="Times New Roman" w:hAnsi="Times New Roman" w:cs="Times New Roman"/>
                <w:b/>
                <w:sz w:val="24"/>
                <w:szCs w:val="24"/>
              </w:rPr>
              <w:t>Review what students have been practicing the past several days about representing numbers with base ten</w:t>
            </w:r>
            <w:r w:rsidR="00CA3912">
              <w:rPr>
                <w:rFonts w:ascii="Times New Roman" w:hAnsi="Times New Roman" w:cs="Times New Roman"/>
                <w:b/>
                <w:sz w:val="24"/>
                <w:szCs w:val="24"/>
              </w:rPr>
              <w:t xml:space="preserve"> blocks</w:t>
            </w:r>
            <w:r>
              <w:rPr>
                <w:rFonts w:ascii="Times New Roman" w:hAnsi="Times New Roman" w:cs="Times New Roman"/>
                <w:b/>
                <w:sz w:val="24"/>
                <w:szCs w:val="24"/>
              </w:rPr>
              <w:t>, place</w:t>
            </w:r>
            <w:r w:rsidR="00CA3912">
              <w:rPr>
                <w:rFonts w:ascii="Times New Roman" w:hAnsi="Times New Roman" w:cs="Times New Roman"/>
                <w:b/>
                <w:sz w:val="24"/>
                <w:szCs w:val="24"/>
              </w:rPr>
              <w:t xml:space="preserve"> value gird (H, T</w:t>
            </w:r>
            <w:r>
              <w:rPr>
                <w:rFonts w:ascii="Times New Roman" w:hAnsi="Times New Roman" w:cs="Times New Roman"/>
                <w:b/>
                <w:sz w:val="24"/>
                <w:szCs w:val="24"/>
              </w:rPr>
              <w:t>,</w:t>
            </w:r>
            <w:r w:rsidR="00CA3912">
              <w:rPr>
                <w:rFonts w:ascii="Times New Roman" w:hAnsi="Times New Roman" w:cs="Times New Roman"/>
                <w:b/>
                <w:sz w:val="24"/>
                <w:szCs w:val="24"/>
              </w:rPr>
              <w:t xml:space="preserve"> O), and</w:t>
            </w:r>
            <w:r>
              <w:rPr>
                <w:rFonts w:ascii="Times New Roman" w:hAnsi="Times New Roman" w:cs="Times New Roman"/>
                <w:b/>
                <w:sz w:val="24"/>
                <w:szCs w:val="24"/>
              </w:rPr>
              <w:t xml:space="preserve"> word</w:t>
            </w:r>
            <w:r w:rsidR="00CA3912">
              <w:rPr>
                <w:rFonts w:ascii="Times New Roman" w:hAnsi="Times New Roman" w:cs="Times New Roman"/>
                <w:b/>
                <w:sz w:val="24"/>
                <w:szCs w:val="24"/>
              </w:rPr>
              <w:t xml:space="preserve"> form.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B48E9" w:rsidRDefault="00E06CE8" w:rsidP="007B401D">
            <w:pPr>
              <w:rPr>
                <w:rFonts w:ascii="Times New Roman" w:hAnsi="Times New Roman" w:cs="Times New Roman"/>
                <w:b/>
                <w:sz w:val="24"/>
                <w:szCs w:val="24"/>
              </w:rPr>
            </w:pPr>
            <w:r>
              <w:rPr>
                <w:rFonts w:ascii="Times New Roman" w:hAnsi="Times New Roman" w:cs="Times New Roman"/>
                <w:b/>
                <w:sz w:val="24"/>
                <w:szCs w:val="24"/>
              </w:rPr>
              <w:t>Give students 3-4 examples of three digit numbers to represent the three ways that we have learned to s</w:t>
            </w:r>
            <w:r w:rsidR="00CA3912">
              <w:rPr>
                <w:rFonts w:ascii="Times New Roman" w:hAnsi="Times New Roman" w:cs="Times New Roman"/>
                <w:b/>
                <w:sz w:val="24"/>
                <w:szCs w:val="24"/>
              </w:rPr>
              <w:t>how numbers. Students will represent</w:t>
            </w:r>
            <w:r>
              <w:rPr>
                <w:rFonts w:ascii="Times New Roman" w:hAnsi="Times New Roman" w:cs="Times New Roman"/>
                <w:b/>
                <w:sz w:val="24"/>
                <w:szCs w:val="24"/>
              </w:rPr>
              <w:t xml:space="preserve"> these</w:t>
            </w:r>
            <w:r w:rsidR="00CA3912">
              <w:rPr>
                <w:rFonts w:ascii="Times New Roman" w:hAnsi="Times New Roman" w:cs="Times New Roman"/>
                <w:b/>
                <w:sz w:val="24"/>
                <w:szCs w:val="24"/>
              </w:rPr>
              <w:t xml:space="preserve"> numbers</w:t>
            </w:r>
            <w:r>
              <w:rPr>
                <w:rFonts w:ascii="Times New Roman" w:hAnsi="Times New Roman" w:cs="Times New Roman"/>
                <w:b/>
                <w:sz w:val="24"/>
                <w:szCs w:val="24"/>
              </w:rPr>
              <w:t xml:space="preserve"> in thei</w:t>
            </w:r>
            <w:r w:rsidR="00CA3912">
              <w:rPr>
                <w:rFonts w:ascii="Times New Roman" w:hAnsi="Times New Roman" w:cs="Times New Roman"/>
                <w:b/>
                <w:sz w:val="24"/>
                <w:szCs w:val="24"/>
              </w:rPr>
              <w:t>r math journals.</w:t>
            </w:r>
            <w:r>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807E4" w:rsidRDefault="00CA3912" w:rsidP="007B401D">
            <w:pPr>
              <w:rPr>
                <w:rFonts w:ascii="Times New Roman" w:hAnsi="Times New Roman" w:cs="Times New Roman"/>
                <w:b/>
                <w:sz w:val="24"/>
                <w:szCs w:val="24"/>
              </w:rPr>
            </w:pPr>
            <w:r>
              <w:rPr>
                <w:rFonts w:ascii="Times New Roman" w:hAnsi="Times New Roman" w:cs="Times New Roman"/>
                <w:b/>
                <w:sz w:val="24"/>
                <w:szCs w:val="24"/>
              </w:rPr>
              <w:t>Students will complete a teacher made Number of the Day chart designed by the teacher (Refer to Number of the Day sheet with 10 ways to write a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71B6C" w:rsidRDefault="00371B6C" w:rsidP="00CA3912">
            <w:pPr>
              <w:rPr>
                <w:rFonts w:ascii="Times New Roman" w:hAnsi="Times New Roman" w:cs="Times New Roman"/>
                <w:b/>
                <w:sz w:val="24"/>
                <w:szCs w:val="24"/>
              </w:rPr>
            </w:pPr>
            <w:r>
              <w:rPr>
                <w:rFonts w:ascii="Times New Roman" w:hAnsi="Times New Roman" w:cs="Times New Roman"/>
                <w:b/>
                <w:sz w:val="24"/>
                <w:szCs w:val="24"/>
              </w:rPr>
              <w:t xml:space="preserve">Review of today’s lesson.  </w:t>
            </w:r>
            <w:r w:rsidR="00657D62">
              <w:rPr>
                <w:rFonts w:ascii="Times New Roman" w:hAnsi="Times New Roman" w:cs="Times New Roman"/>
                <w:b/>
                <w:sz w:val="24"/>
                <w:szCs w:val="24"/>
              </w:rPr>
              <w:t>Tomorrow</w:t>
            </w:r>
            <w:r w:rsidR="00CA3912">
              <w:rPr>
                <w:rFonts w:ascii="Times New Roman" w:hAnsi="Times New Roman" w:cs="Times New Roman"/>
                <w:b/>
                <w:sz w:val="24"/>
                <w:szCs w:val="24"/>
              </w:rPr>
              <w:t xml:space="preserve"> the assessment will be given.</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694037">
              <w:trPr>
                <w:trHeight w:val="699"/>
              </w:trPr>
              <w:tc>
                <w:tcPr>
                  <w:tcW w:w="0" w:type="auto"/>
                </w:tcPr>
                <w:p w:rsidR="00694037" w:rsidRDefault="00694037">
                  <w:pPr>
                    <w:pStyle w:val="Default"/>
                    <w:rPr>
                      <w:sz w:val="22"/>
                      <w:szCs w:val="22"/>
                    </w:rPr>
                  </w:pPr>
                  <w:r>
                    <w:rPr>
                      <w:sz w:val="22"/>
                      <w:szCs w:val="22"/>
                    </w:rPr>
                    <w:t xml:space="preserve">Use base-ten blocks to model the number in more than one way. </w:t>
                  </w:r>
                </w:p>
                <w:p w:rsidR="00694037" w:rsidRDefault="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234"/>
              <w:gridCol w:w="222"/>
            </w:tblGrid>
            <w:tr w:rsidR="00694037">
              <w:trPr>
                <w:trHeight w:val="1225"/>
              </w:trPr>
              <w:tc>
                <w:tcPr>
                  <w:tcW w:w="0" w:type="auto"/>
                </w:tcPr>
                <w:p w:rsidR="00694037" w:rsidRDefault="00694037">
                  <w:pPr>
                    <w:pStyle w:val="Default"/>
                    <w:rPr>
                      <w:sz w:val="22"/>
                      <w:szCs w:val="22"/>
                    </w:rPr>
                  </w:pPr>
                  <w:r>
                    <w:rPr>
                      <w:sz w:val="22"/>
                      <w:szCs w:val="22"/>
                    </w:rPr>
                    <w:t xml:space="preserve">Limit the number of items to show representations to only 2 or 3. </w:t>
                  </w:r>
                </w:p>
                <w:p w:rsidR="00694037" w:rsidRDefault="00694037">
                  <w:pPr>
                    <w:pStyle w:val="Default"/>
                    <w:rPr>
                      <w:sz w:val="22"/>
                      <w:szCs w:val="22"/>
                    </w:rPr>
                  </w:pPr>
                </w:p>
                <w:p w:rsidR="00694037" w:rsidRDefault="00694037">
                  <w:pPr>
                    <w:pStyle w:val="Default"/>
                    <w:rPr>
                      <w:sz w:val="22"/>
                      <w:szCs w:val="22"/>
                    </w:rPr>
                  </w:pPr>
                  <w:r>
                    <w:rPr>
                      <w:sz w:val="22"/>
                      <w:szCs w:val="22"/>
                    </w:rPr>
                    <w:t xml:space="preserve">Do one column at a time for each item. </w:t>
                  </w:r>
                </w:p>
                <w:p w:rsidR="00694037" w:rsidRDefault="00694037">
                  <w:pPr>
                    <w:pStyle w:val="Default"/>
                    <w:rPr>
                      <w:sz w:val="22"/>
                      <w:szCs w:val="22"/>
                    </w:rPr>
                  </w:pPr>
                </w:p>
              </w:tc>
              <w:tc>
                <w:tcPr>
                  <w:tcW w:w="0" w:type="auto"/>
                </w:tcPr>
                <w:p w:rsidR="00694037" w:rsidRDefault="00694037">
                  <w:pPr>
                    <w:pStyle w:val="Default"/>
                    <w:rPr>
                      <w:color w:val="auto"/>
                    </w:rPr>
                  </w:pPr>
                </w:p>
                <w:p w:rsidR="00694037" w:rsidRDefault="00694037">
                  <w:pPr>
                    <w:pStyle w:val="Default"/>
                    <w:rPr>
                      <w:color w:val="auto"/>
                    </w:rPr>
                  </w:pPr>
                </w:p>
                <w:p w:rsidR="00694037" w:rsidRDefault="00694037" w:rsidP="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694037" w:rsidRDefault="00694037" w:rsidP="00694037">
            <w:pPr>
              <w:pStyle w:val="Default"/>
              <w:rPr>
                <w:sz w:val="22"/>
                <w:szCs w:val="22"/>
              </w:rPr>
            </w:pPr>
            <w:r>
              <w:rPr>
                <w:sz w:val="22"/>
                <w:szCs w:val="22"/>
              </w:rPr>
              <w:t xml:space="preserve">Pre-teach vocabulary: </w:t>
            </w:r>
            <w:r>
              <w:rPr>
                <w:b/>
                <w:bCs/>
                <w:i/>
                <w:iCs/>
                <w:sz w:val="22"/>
                <w:szCs w:val="22"/>
              </w:rPr>
              <w:t xml:space="preserve">represent </w:t>
            </w:r>
          </w:p>
          <w:p w:rsidR="00694037" w:rsidRDefault="00694037" w:rsidP="00694037">
            <w:pPr>
              <w:pStyle w:val="Default"/>
              <w:rPr>
                <w:sz w:val="22"/>
                <w:szCs w:val="22"/>
              </w:rPr>
            </w:pPr>
          </w:p>
          <w:p w:rsidR="00694037" w:rsidRDefault="00694037" w:rsidP="00694037">
            <w:pPr>
              <w:pStyle w:val="Default"/>
              <w:rPr>
                <w:sz w:val="22"/>
                <w:szCs w:val="22"/>
              </w:rPr>
            </w:pPr>
            <w:r>
              <w:rPr>
                <w:sz w:val="22"/>
                <w:szCs w:val="22"/>
              </w:rPr>
              <w:t xml:space="preserve">Include number words and place value chart in students’ personal dictionaries.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71C2E">
              <w:rPr>
                <w:rFonts w:ascii="Times New Roman" w:hAnsi="Times New Roman" w:cs="Times New Roman"/>
                <w:b/>
                <w:sz w:val="24"/>
                <w:szCs w:val="24"/>
              </w:rPr>
              <w:t xml:space="preserve">  Review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FFB" w:rsidRDefault="00C94FFB" w:rsidP="00D7779B">
      <w:pPr>
        <w:spacing w:after="0" w:line="240" w:lineRule="auto"/>
      </w:pPr>
      <w:r>
        <w:separator/>
      </w:r>
    </w:p>
  </w:endnote>
  <w:endnote w:type="continuationSeparator" w:id="0">
    <w:p w:rsidR="00C94FFB" w:rsidRDefault="00C94FF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FFB" w:rsidRDefault="00C94FFB" w:rsidP="00D7779B">
      <w:pPr>
        <w:spacing w:after="0" w:line="240" w:lineRule="auto"/>
      </w:pPr>
      <w:r>
        <w:separator/>
      </w:r>
    </w:p>
  </w:footnote>
  <w:footnote w:type="continuationSeparator" w:id="0">
    <w:p w:rsidR="00C94FFB" w:rsidRDefault="00C94FF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675A4"/>
    <w:rsid w:val="00071C2E"/>
    <w:rsid w:val="000C3402"/>
    <w:rsid w:val="00141833"/>
    <w:rsid w:val="001602C5"/>
    <w:rsid w:val="00224A5F"/>
    <w:rsid w:val="00274ACD"/>
    <w:rsid w:val="0028024F"/>
    <w:rsid w:val="0028190D"/>
    <w:rsid w:val="00306808"/>
    <w:rsid w:val="00371B6C"/>
    <w:rsid w:val="00392574"/>
    <w:rsid w:val="003D7D31"/>
    <w:rsid w:val="004807E4"/>
    <w:rsid w:val="004B658C"/>
    <w:rsid w:val="004B7220"/>
    <w:rsid w:val="0051657B"/>
    <w:rsid w:val="00570FB8"/>
    <w:rsid w:val="005B48E9"/>
    <w:rsid w:val="005B6F32"/>
    <w:rsid w:val="005C4CBE"/>
    <w:rsid w:val="00643719"/>
    <w:rsid w:val="00657D62"/>
    <w:rsid w:val="00694037"/>
    <w:rsid w:val="006A0ACD"/>
    <w:rsid w:val="007B401D"/>
    <w:rsid w:val="007C3C90"/>
    <w:rsid w:val="008C13D7"/>
    <w:rsid w:val="008D07C9"/>
    <w:rsid w:val="0094153E"/>
    <w:rsid w:val="009B085C"/>
    <w:rsid w:val="009B2135"/>
    <w:rsid w:val="00A67FA5"/>
    <w:rsid w:val="00A86E86"/>
    <w:rsid w:val="00B51CA8"/>
    <w:rsid w:val="00C22F00"/>
    <w:rsid w:val="00C7352B"/>
    <w:rsid w:val="00C92D93"/>
    <w:rsid w:val="00C94FFB"/>
    <w:rsid w:val="00CA3912"/>
    <w:rsid w:val="00CB2DBC"/>
    <w:rsid w:val="00CD5617"/>
    <w:rsid w:val="00CF130E"/>
    <w:rsid w:val="00D372D8"/>
    <w:rsid w:val="00D77581"/>
    <w:rsid w:val="00D7779B"/>
    <w:rsid w:val="00D85633"/>
    <w:rsid w:val="00E06CE8"/>
    <w:rsid w:val="00E56ACD"/>
    <w:rsid w:val="00F953ED"/>
    <w:rsid w:val="00FE4609"/>
    <w:rsid w:val="00FE6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DBDD7B-EFE4-4640-BF98-839A69D89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2012-06-27T10:37:00Z</cp:lastPrinted>
  <dcterms:created xsi:type="dcterms:W3CDTF">2012-06-28T14:29:00Z</dcterms:created>
  <dcterms:modified xsi:type="dcterms:W3CDTF">2012-06-28T14:29:00Z</dcterms:modified>
</cp:coreProperties>
</file>